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E75" w:rsidRPr="006920CF" w:rsidRDefault="006C6E75" w:rsidP="006C6E75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</w:pPr>
      <w:r w:rsidRPr="006920CF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COMISSÕES PERMANENTES DA CÂMARA – BIÊNIO 2023/2024</w:t>
      </w:r>
    </w:p>
    <w:p w:rsidR="006C6E75" w:rsidRPr="006920CF" w:rsidRDefault="006C6E75" w:rsidP="006C6E75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  <w:r w:rsidRPr="006920CF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 xml:space="preserve">PAUTA DA 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4</w:t>
      </w:r>
      <w:r w:rsidRPr="006920CF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ª REUNIÃO EXTRAORDINÁRIA DAS COMISSÕES</w:t>
      </w:r>
    </w:p>
    <w:p w:rsidR="006C6E75" w:rsidRPr="006920CF" w:rsidRDefault="006C6E75" w:rsidP="006C6E75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</w:pPr>
      <w:r w:rsidRPr="006920CF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 </w:t>
      </w:r>
      <w:r w:rsidRPr="006920CF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 xml:space="preserve"> DIA: 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05</w:t>
      </w:r>
      <w:r w:rsidRPr="006920CF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/0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4</w:t>
      </w:r>
      <w:r w:rsidRPr="006920CF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/2023 – 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12h</w:t>
      </w:r>
    </w:p>
    <w:p w:rsidR="006C6E75" w:rsidRDefault="006C6E75" w:rsidP="006C6E75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</w:p>
    <w:p w:rsidR="00274728" w:rsidRDefault="00274728" w:rsidP="006C6E75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</w:p>
    <w:p w:rsidR="006C6E75" w:rsidRPr="006920CF" w:rsidRDefault="006C6E75" w:rsidP="006C6E75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color w:val="000000"/>
          <w:sz w:val="24"/>
          <w:szCs w:val="24"/>
          <w:lang w:eastAsia="pt-BR"/>
        </w:rPr>
      </w:pPr>
    </w:p>
    <w:p w:rsidR="006C6E75" w:rsidRDefault="006C6E75" w:rsidP="006C6E75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</w:pPr>
      <w:r w:rsidRPr="00FD2FDE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PAUTA DA REUNIÃO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 xml:space="preserve"> – DISCUSSÃO DA PROPOSIÇ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ÃO</w:t>
      </w:r>
    </w:p>
    <w:p w:rsidR="006C6E75" w:rsidRDefault="006C6E75" w:rsidP="006C6E75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</w:pPr>
    </w:p>
    <w:p w:rsidR="006C6E75" w:rsidRPr="00274728" w:rsidRDefault="006C6E75" w:rsidP="006C6E7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0" w:beforeAutospacing="0" w:after="200" w:afterAutospacing="0" w:line="276" w:lineRule="auto"/>
        <w:contextualSpacing/>
        <w:jc w:val="both"/>
        <w:rPr>
          <w:rFonts w:ascii="Arial" w:hAnsi="Arial" w:cs="Arial"/>
          <w:sz w:val="22"/>
          <w:szCs w:val="22"/>
          <w:lang w:bidi="he-IL"/>
        </w:rPr>
      </w:pPr>
      <w:r w:rsidRPr="00274728">
        <w:rPr>
          <w:rFonts w:ascii="Arial" w:hAnsi="Arial" w:cs="Arial"/>
          <w:b/>
          <w:bCs/>
          <w:sz w:val="22"/>
          <w:szCs w:val="22"/>
        </w:rPr>
        <w:t>Projeto de Lei n° 55/2023</w:t>
      </w:r>
      <w:r w:rsidRPr="00274728">
        <w:rPr>
          <w:rFonts w:ascii="Arial" w:hAnsi="Arial" w:cs="Arial"/>
          <w:sz w:val="22"/>
          <w:szCs w:val="22"/>
        </w:rPr>
        <w:t>, de autoria do Poder Executivo Municipal</w:t>
      </w:r>
      <w:r w:rsidRPr="00274728">
        <w:rPr>
          <w:rFonts w:ascii="Arial" w:hAnsi="Arial" w:cs="Arial"/>
          <w:i/>
          <w:sz w:val="22"/>
          <w:szCs w:val="22"/>
        </w:rPr>
        <w:t xml:space="preserve">, </w:t>
      </w:r>
      <w:r w:rsidRPr="00274728">
        <w:rPr>
          <w:rFonts w:ascii="Arial" w:hAnsi="Arial" w:cs="Arial"/>
          <w:sz w:val="22"/>
          <w:szCs w:val="22"/>
          <w:lang w:bidi="he-IL"/>
        </w:rPr>
        <w:t>que dispõe sobre:</w:t>
      </w:r>
      <w:r w:rsidRPr="00274728">
        <w:rPr>
          <w:rFonts w:ascii="Arial" w:hAnsi="Arial" w:cs="Arial"/>
          <w:i/>
          <w:iCs/>
          <w:sz w:val="22"/>
          <w:szCs w:val="22"/>
          <w:lang w:bidi="he-IL"/>
        </w:rPr>
        <w:t xml:space="preserve"> </w:t>
      </w:r>
      <w:r w:rsidRPr="00274728">
        <w:rPr>
          <w:rFonts w:ascii="Arial" w:hAnsi="Arial" w:cs="Arial"/>
          <w:sz w:val="22"/>
          <w:szCs w:val="22"/>
          <w:lang w:bidi="he-IL"/>
        </w:rPr>
        <w:t>Revoga a Lei n° 280/1992, Lei n° 526/1999, Lei n° 541/1999, Lei n° 868/04 e Lei n° 1.774/2014 que define a</w:t>
      </w:r>
      <w:r w:rsidRPr="00274728">
        <w:rPr>
          <w:rFonts w:ascii="Arial" w:hAnsi="Arial" w:cs="Arial"/>
          <w:b/>
          <w:bCs/>
          <w:sz w:val="22"/>
          <w:szCs w:val="22"/>
          <w:lang w:bidi="he-IL"/>
        </w:rPr>
        <w:t xml:space="preserve"> Estrutura e Funcionamento do Conselho Tutelar no Município</w:t>
      </w:r>
      <w:r w:rsidRPr="00274728">
        <w:rPr>
          <w:rFonts w:ascii="Arial" w:hAnsi="Arial" w:cs="Arial"/>
          <w:sz w:val="22"/>
          <w:szCs w:val="22"/>
          <w:lang w:bidi="he-IL"/>
        </w:rPr>
        <w:t xml:space="preserve"> de Espigão do Oeste, Estado de Rondônia, e dá outras providências.</w:t>
      </w:r>
    </w:p>
    <w:p w:rsidR="006C6E75" w:rsidRPr="00274728" w:rsidRDefault="006C6E75" w:rsidP="0027472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Calibri"/>
          <w:b/>
          <w:bCs/>
          <w:color w:val="000000"/>
        </w:rPr>
      </w:pPr>
    </w:p>
    <w:p w:rsidR="006C6E75" w:rsidRPr="00274728" w:rsidRDefault="006C6E75" w:rsidP="006C6E75">
      <w:pPr>
        <w:shd w:val="clear" w:color="auto" w:fill="FFFFFF"/>
        <w:spacing w:after="0"/>
        <w:ind w:left="567" w:firstLine="284"/>
        <w:jc w:val="both"/>
        <w:rPr>
          <w:rFonts w:ascii="Arial Narrow" w:hAnsi="Arial Narrow" w:cs="Arial"/>
          <w:color w:val="000000"/>
        </w:rPr>
      </w:pPr>
      <w:r w:rsidRPr="00274728">
        <w:rPr>
          <w:rFonts w:ascii="Arial Narrow" w:hAnsi="Arial Narrow" w:cs="Arial"/>
          <w:color w:val="000000"/>
        </w:rPr>
        <w:t>- Emendas: ........................................................................................................</w:t>
      </w:r>
    </w:p>
    <w:p w:rsidR="006C6E75" w:rsidRPr="00274728" w:rsidRDefault="006C6E75" w:rsidP="006C6E75">
      <w:pPr>
        <w:shd w:val="clear" w:color="auto" w:fill="FFFFFF"/>
        <w:spacing w:after="0"/>
        <w:ind w:left="851"/>
        <w:jc w:val="both"/>
        <w:rPr>
          <w:rFonts w:ascii="Arial Narrow" w:hAnsi="Arial Narrow" w:cs="Arial"/>
          <w:color w:val="000000"/>
        </w:rPr>
      </w:pPr>
      <w:r w:rsidRPr="00274728">
        <w:rPr>
          <w:rFonts w:ascii="Arial Narrow" w:hAnsi="Arial Narrow" w:cs="Arial"/>
          <w:color w:val="000000"/>
        </w:rPr>
        <w:t>- Relator/Vereador .............................................................................................</w:t>
      </w:r>
    </w:p>
    <w:p w:rsidR="006C6E75" w:rsidRPr="00274728" w:rsidRDefault="006C6E75" w:rsidP="006C6E75">
      <w:pPr>
        <w:shd w:val="clear" w:color="auto" w:fill="FFFFFF"/>
        <w:spacing w:after="0"/>
        <w:ind w:left="851"/>
        <w:jc w:val="both"/>
        <w:rPr>
          <w:rFonts w:ascii="Arial Narrow" w:hAnsi="Arial Narrow" w:cs="Arial"/>
          <w:color w:val="000000"/>
        </w:rPr>
      </w:pPr>
      <w:r w:rsidRPr="00274728">
        <w:rPr>
          <w:rFonts w:ascii="Arial Narrow" w:hAnsi="Arial Narrow" w:cs="Arial"/>
          <w:color w:val="000000"/>
        </w:rPr>
        <w:t>- Parecer: ...........................................................................................................</w:t>
      </w:r>
    </w:p>
    <w:p w:rsidR="006C6E75" w:rsidRPr="007B6CE9" w:rsidRDefault="006C6E75" w:rsidP="006C6E7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i/>
          <w:iCs/>
        </w:rPr>
      </w:pPr>
    </w:p>
    <w:p w:rsidR="006C6E75" w:rsidRPr="006920CF" w:rsidRDefault="006C6E75" w:rsidP="006C6E75">
      <w:pPr>
        <w:shd w:val="clear" w:color="auto" w:fill="FFFFFF"/>
        <w:spacing w:after="0" w:line="240" w:lineRule="auto"/>
        <w:ind w:left="851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  <w:r w:rsidRPr="006920CF">
        <w:rPr>
          <w:rFonts w:ascii="Arial Narrow" w:eastAsia="Times New Roman" w:hAnsi="Arial Narrow" w:cs="Arial"/>
          <w:i/>
          <w:iCs/>
          <w:color w:val="000000"/>
          <w:sz w:val="20"/>
          <w:szCs w:val="20"/>
          <w:lang w:eastAsia="pt-BR"/>
        </w:rPr>
        <w:t>  </w:t>
      </w:r>
    </w:p>
    <w:p w:rsidR="006C6E75" w:rsidRPr="006920CF" w:rsidRDefault="006C6E75" w:rsidP="006C6E75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pt-BR"/>
        </w:rPr>
      </w:pPr>
      <w:r w:rsidRPr="006920CF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pt-BR"/>
        </w:rPr>
        <w:t xml:space="preserve">Espigão do Oeste-RO, </w:t>
      </w:r>
      <w:r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pt-BR"/>
        </w:rPr>
        <w:t>04</w:t>
      </w:r>
      <w:r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pt-BR"/>
        </w:rPr>
        <w:t xml:space="preserve"> </w:t>
      </w:r>
      <w:r w:rsidRPr="006920CF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pt-BR"/>
        </w:rPr>
        <w:t xml:space="preserve">de </w:t>
      </w:r>
      <w:r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pt-BR"/>
        </w:rPr>
        <w:t>abril</w:t>
      </w:r>
      <w:r w:rsidRPr="006920CF">
        <w:rPr>
          <w:rFonts w:ascii="Arial Narrow" w:eastAsia="Times New Roman" w:hAnsi="Arial Narrow" w:cs="Arial"/>
          <w:i/>
          <w:iCs/>
          <w:color w:val="000000"/>
          <w:sz w:val="24"/>
          <w:szCs w:val="24"/>
          <w:lang w:eastAsia="pt-BR"/>
        </w:rPr>
        <w:t xml:space="preserve"> de 2023.</w:t>
      </w:r>
    </w:p>
    <w:p w:rsidR="006C6E75" w:rsidRPr="006920CF" w:rsidRDefault="006C6E75" w:rsidP="006C6E75">
      <w:pPr>
        <w:rPr>
          <w:rFonts w:ascii="Arial Narrow" w:hAnsi="Arial Narrow"/>
        </w:rPr>
      </w:pPr>
    </w:p>
    <w:p w:rsidR="006C6E75" w:rsidRPr="00792045" w:rsidRDefault="006C6E75" w:rsidP="006C6E75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204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Luiz Antônio dos Santos (PODEMOS)</w:t>
      </w:r>
    </w:p>
    <w:p w:rsidR="006C6E75" w:rsidRPr="00792045" w:rsidRDefault="006C6E75" w:rsidP="006C6E75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20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Presidente da Comissão de Legislação, Justiça</w:t>
      </w:r>
    </w:p>
    <w:p w:rsidR="006C6E75" w:rsidRDefault="006C6E75" w:rsidP="006C6E75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  <w:r w:rsidRPr="007920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e Redação Final</w:t>
      </w:r>
    </w:p>
    <w:p w:rsidR="006C6E75" w:rsidRDefault="006C6E75" w:rsidP="006C6E75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</w:p>
    <w:p w:rsidR="006C6E75" w:rsidRDefault="006C6E75" w:rsidP="006C6E75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</w:pPr>
    </w:p>
    <w:p w:rsidR="006C6E75" w:rsidRPr="006920CF" w:rsidRDefault="006C6E75" w:rsidP="006C6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  <w:i/>
          <w:sz w:val="24"/>
          <w:szCs w:val="24"/>
        </w:rPr>
      </w:pPr>
      <w:r w:rsidRPr="006920CF">
        <w:rPr>
          <w:rFonts w:ascii="Arial Narrow" w:hAnsi="Arial Narrow" w:cs="Arial"/>
          <w:b/>
          <w:bCs/>
          <w:i/>
          <w:sz w:val="24"/>
          <w:szCs w:val="24"/>
        </w:rPr>
        <w:t>Hermes Pereira Júnior (PROS)</w:t>
      </w:r>
    </w:p>
    <w:p w:rsidR="006C6E75" w:rsidRPr="006920CF" w:rsidRDefault="006C6E75" w:rsidP="006C6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 Narrow" w:hAnsi="Arial Narrow" w:cs="Arial"/>
          <w:i/>
          <w:sz w:val="24"/>
          <w:szCs w:val="24"/>
        </w:rPr>
      </w:pPr>
      <w:r w:rsidRPr="006920CF">
        <w:rPr>
          <w:rFonts w:ascii="Arial Narrow" w:hAnsi="Arial Narrow" w:cs="Arial"/>
          <w:i/>
          <w:sz w:val="24"/>
          <w:szCs w:val="24"/>
        </w:rPr>
        <w:t>Presidente da Comissão</w:t>
      </w:r>
    </w:p>
    <w:p w:rsidR="006C6E75" w:rsidRPr="006920CF" w:rsidRDefault="006C6E75" w:rsidP="006C6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Finanças e Orçamento</w:t>
      </w:r>
    </w:p>
    <w:p w:rsidR="006C6E75" w:rsidRDefault="006C6E75" w:rsidP="006C6E75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i/>
          <w:sz w:val="24"/>
          <w:szCs w:val="24"/>
        </w:rPr>
      </w:pPr>
    </w:p>
    <w:p w:rsidR="006C6E75" w:rsidRPr="006920CF" w:rsidRDefault="006C6E75" w:rsidP="006C6E75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i/>
          <w:sz w:val="24"/>
          <w:szCs w:val="24"/>
        </w:rPr>
      </w:pPr>
    </w:p>
    <w:p w:rsidR="006C6E75" w:rsidRPr="006920CF" w:rsidRDefault="006C6E75" w:rsidP="006C6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  <w:i/>
          <w:sz w:val="24"/>
          <w:szCs w:val="24"/>
        </w:rPr>
      </w:pPr>
      <w:r>
        <w:rPr>
          <w:rFonts w:ascii="Arial Narrow" w:hAnsi="Arial Narrow" w:cs="Arial"/>
          <w:b/>
          <w:bCs/>
          <w:i/>
          <w:sz w:val="24"/>
          <w:szCs w:val="24"/>
        </w:rPr>
        <w:t>Cosmo de Novaes Ferreira</w:t>
      </w:r>
      <w:r w:rsidRPr="006920CF">
        <w:rPr>
          <w:rFonts w:ascii="Arial Narrow" w:hAnsi="Arial Narrow" w:cs="Arial"/>
          <w:b/>
          <w:bCs/>
          <w:i/>
          <w:sz w:val="24"/>
          <w:szCs w:val="24"/>
        </w:rPr>
        <w:t xml:space="preserve"> (</w:t>
      </w:r>
      <w:r>
        <w:rPr>
          <w:rFonts w:ascii="Arial Narrow" w:hAnsi="Arial Narrow" w:cs="Arial"/>
          <w:b/>
          <w:bCs/>
          <w:i/>
          <w:sz w:val="24"/>
          <w:szCs w:val="24"/>
        </w:rPr>
        <w:t>UNIÃO BRASIL</w:t>
      </w:r>
      <w:r w:rsidRPr="006920CF">
        <w:rPr>
          <w:rFonts w:ascii="Arial Narrow" w:hAnsi="Arial Narrow" w:cs="Arial"/>
          <w:b/>
          <w:bCs/>
          <w:i/>
          <w:sz w:val="24"/>
          <w:szCs w:val="24"/>
        </w:rPr>
        <w:t>)</w:t>
      </w:r>
    </w:p>
    <w:p w:rsidR="006C6E75" w:rsidRPr="006920CF" w:rsidRDefault="006C6E75" w:rsidP="006C6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 xml:space="preserve">Presidente </w:t>
      </w:r>
      <w:r w:rsidRPr="006920CF">
        <w:rPr>
          <w:rFonts w:ascii="Arial Narrow" w:hAnsi="Arial Narrow" w:cs="Arial"/>
          <w:i/>
          <w:sz w:val="24"/>
          <w:szCs w:val="24"/>
        </w:rPr>
        <w:t>da Comissão</w:t>
      </w:r>
    </w:p>
    <w:p w:rsidR="006C6E75" w:rsidRPr="006920CF" w:rsidRDefault="006C6E75" w:rsidP="006C6E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Educação, Saúde e Assistência Social</w:t>
      </w:r>
    </w:p>
    <w:p w:rsidR="006C6E75" w:rsidRPr="00792045" w:rsidRDefault="006C6E75" w:rsidP="006C6E75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C6E75" w:rsidRPr="00792045" w:rsidRDefault="006C6E75" w:rsidP="006C6E75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92045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 </w:t>
      </w:r>
    </w:p>
    <w:p w:rsidR="000E72BE" w:rsidRDefault="000E72BE"/>
    <w:sectPr w:rsidR="000E72BE" w:rsidSect="00274728">
      <w:headerReference w:type="default" r:id="rId5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0DBA" w:rsidRPr="00FD0DBA" w:rsidRDefault="00000000" w:rsidP="00FD0DBA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3AAF5541" wp14:editId="73666EC9">
          <wp:extent cx="5438775" cy="82740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164" cy="830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5C7F"/>
    <w:multiLevelType w:val="hybridMultilevel"/>
    <w:tmpl w:val="EED04934"/>
    <w:lvl w:ilvl="0" w:tplc="D4D81F40">
      <w:start w:val="1"/>
      <w:numFmt w:val="decimalZero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  <w:b w:val="0"/>
        <w:bCs/>
        <w:sz w:val="24"/>
        <w:szCs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47A3"/>
    <w:multiLevelType w:val="hybridMultilevel"/>
    <w:tmpl w:val="EE04A76A"/>
    <w:lvl w:ilvl="0" w:tplc="30EC1784">
      <w:start w:val="1"/>
      <w:numFmt w:val="decimalZero"/>
      <w:lvlText w:val="%1)"/>
      <w:lvlJc w:val="left"/>
      <w:pPr>
        <w:ind w:left="36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-7000" w:hanging="360"/>
      </w:pPr>
    </w:lvl>
    <w:lvl w:ilvl="2" w:tplc="0416001B">
      <w:start w:val="1"/>
      <w:numFmt w:val="lowerRoman"/>
      <w:lvlText w:val="%3."/>
      <w:lvlJc w:val="right"/>
      <w:pPr>
        <w:ind w:left="-6280" w:hanging="180"/>
      </w:pPr>
    </w:lvl>
    <w:lvl w:ilvl="3" w:tplc="0416000F">
      <w:start w:val="1"/>
      <w:numFmt w:val="decimal"/>
      <w:lvlText w:val="%4."/>
      <w:lvlJc w:val="left"/>
      <w:pPr>
        <w:ind w:left="-5560" w:hanging="360"/>
      </w:pPr>
    </w:lvl>
    <w:lvl w:ilvl="4" w:tplc="04160019">
      <w:start w:val="1"/>
      <w:numFmt w:val="lowerLetter"/>
      <w:lvlText w:val="%5."/>
      <w:lvlJc w:val="left"/>
      <w:pPr>
        <w:ind w:left="-4840" w:hanging="360"/>
      </w:pPr>
    </w:lvl>
    <w:lvl w:ilvl="5" w:tplc="0416001B">
      <w:start w:val="1"/>
      <w:numFmt w:val="lowerRoman"/>
      <w:lvlText w:val="%6."/>
      <w:lvlJc w:val="right"/>
      <w:pPr>
        <w:ind w:left="-4120" w:hanging="180"/>
      </w:pPr>
    </w:lvl>
    <w:lvl w:ilvl="6" w:tplc="0416000F">
      <w:start w:val="1"/>
      <w:numFmt w:val="decimal"/>
      <w:lvlText w:val="%7."/>
      <w:lvlJc w:val="left"/>
      <w:pPr>
        <w:ind w:left="-3400" w:hanging="360"/>
      </w:pPr>
    </w:lvl>
    <w:lvl w:ilvl="7" w:tplc="04160019">
      <w:start w:val="1"/>
      <w:numFmt w:val="lowerLetter"/>
      <w:lvlText w:val="%8."/>
      <w:lvlJc w:val="left"/>
      <w:pPr>
        <w:ind w:left="-2680" w:hanging="360"/>
      </w:pPr>
    </w:lvl>
    <w:lvl w:ilvl="8" w:tplc="0416001B">
      <w:start w:val="1"/>
      <w:numFmt w:val="lowerRoman"/>
      <w:lvlText w:val="%9."/>
      <w:lvlJc w:val="right"/>
      <w:pPr>
        <w:ind w:left="-1960" w:hanging="180"/>
      </w:pPr>
    </w:lvl>
  </w:abstractNum>
  <w:num w:numId="1" w16cid:durableId="1934898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64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75"/>
    <w:rsid w:val="000E72BE"/>
    <w:rsid w:val="00274728"/>
    <w:rsid w:val="006C6E75"/>
    <w:rsid w:val="00DB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25DC"/>
  <w15:chartTrackingRefBased/>
  <w15:docId w15:val="{B2B89255-3E52-405B-8D7B-40299C22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E7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2023-04-04T16:14:00Z</dcterms:created>
  <dcterms:modified xsi:type="dcterms:W3CDTF">2023-04-04T16:39:00Z</dcterms:modified>
</cp:coreProperties>
</file>